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МГ1504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1330x2200x1470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114.5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 сосна, ламинированная фанера, монолитный поликарбонат.</w:t>
              <w:br/>
              <w:t>Комплектация: Крыша – 1 компл; сидение - 1 шт; столбы опорные – 1 компл; окно – 1 компл; фанерные заполнения -1 компл; пол – 1 компл; Комплект крепежей -1 шт.</w:t>
              <w:br/>
              <w:t>Домик состоит из 5 опорных столбов сечением 80 мм х80 мм, произведенных из деревянного клееного бруса, состоящего из трех слоев сухих досок сосны.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Фанерные элементы изготовлены из высокопрочной, влагостойкой березовой фанеры. Скаты крыши из фанеры толщиной 15 мм, а боковые ограждающие элементы из фанеры толщиной 12 мм. Пол изготовлен из влагостойкой ламинированной фанеры толщиной 18 мм. Обрешетка пола изготовлена из сухой строганой доски хвойных пород. Окошки на домике изготовлены из монолитного поликарбоната толщиной 5 мм.</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лак. </w:t>
              <w:br/>
              <w:t>-фанера - грунт акриловый, эмаль акриловая,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