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«Рений»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3739x5448x3071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676.475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12 шт., крыши – 2 компл., полы – 1 компл., панель скалолаза с зацепами – 1 шт.,  тоннельный переход – 1 шт.,  ограждающие и декоративные панели – 1 компл.,  лестница-стремянка – 1 шт., балкон со штурвалом – 1 шт., панель "Ксилофон" - 1 шт., канатный мост - й шт., вертикальный шест - 1 шт., панель «Сладости»-1шт.,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</w:t>
              <w:br/>
              <w:t>Переход между башней и платформой с вертикальным шестом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