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ЛГД-112.2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"Алфавит" тип 2</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Комплекс состоит из 2 опорных столбов сечением  100 мм х 100 мм, произведенных из деревянного клееного бруса, состоящего не менее чем из трех ламелей () хвойных пород. На гранях столбов, по центру, по всей длине должна быть фрезерованная разгрузочная канавка. Все столбы отшлифованы, кромки скруглены (радиус округления не более 20 мм). Обработанные поверхности покрыты тонированным и бесцветным лаком. В основании опорных столбов установлены закладные элементы, выполненные из металла толщиной от 4 мм, длинной 700-708 мм, в разрезе имеющих форму уголка, с шириной полки от 80 до 85 мм.</w:t>
              <w:br/>
              <w:t>Декоративный фанерный щит должен быть изготовлен из высокопрочной, влагостойкой фанеры толщиной не менее 21 мм и окрашен в 2-3 слоя акриловой краской, иметь специальное покрытие - антиграффити. Щит имеет квадратную или прямоугольную форму шириной 1200±20 мм, высотой от 800 до 1200 мм. С одной стороны щиты напечатаны буквы алфавита. Печать выполнена с использованием атмосферостойких чернил отверждаемых ультрафиолетом. </w:t>
              <w:br/>
              <w:t> Кроме декоративных качеств, напечатанные буквы должны обладать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обеспечивать эксплуатацию в диапазоне температур (от - 45 до + 45°С).  Все имеющиеся металлические детали окрашены порошковой полиэфирной краской. Весь крепеж оцинкованный.</w:t>
              <w:br/>
              <w:t> </w:t>
              <w:br/>
              <w:t>Комплектация:</w:t>
              <w:br/>
              <w:t>Закладная угловая -  2 шт.  </w:t>
              <w:br/>
              <w:t>Столб -  2 шт. </w:t>
              <w:br/>
              <w:t>Панель Алфавит длина 1180 мм х высота 800 мм. (серый)  -  1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