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одинарные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2445x2850x2590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робиния, металл, нержавеющая сталь.</w:t>
              <w:br/>
              <w:t>Комплектация: рама - 1 шт., подвес "резиновый" - 1 шт., комплект крепежа - 1 шт.</w:t>
              <w:br/>
              <w:t>Качели состоят из 4 опорных столбов круглого сечения и одного горизонтально расположенного столба круглого сечения. Столбы выполнены из бруса робинии и имеют диаметр 140 мм. Опорные столбы устанавливаются на закладные.</w:t>
              <w:br/>
              <w:t>Подвес "резиновый" входит в комплект. Подвес выполнен из термоэластопласта, внутри сиденья установлена алюминиевая пластина. Поверхность рифлёная, антискользящая. На сиденье предусмотрены 4 отверстия диаметром 8,5мм под резьбу М8 для крепления подвесов.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