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ЛГД-4.07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"Карета"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1250x1600x1450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 Беседка состоит из 4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формы.Все подпятники окрашены порошковой полиэфирной краской. Ограждающие элементы изготовлены из высокопрочной, влагостойкой фанеры толщиной 21 мм и снабжены декоративными фанерными аппликациями и изображениями, выполненными печатным способом.  Крыша беседки выполнена из высокопрочной, влагостойкой березовой фанеры толщиной 15 мм, а пол из высокопрочной ламинированной березовой фанеры толщиной 18 мм с антискользящим покрытием. Рама пола выполнена из металлической круглой трубы диаметром 26,8 мм и имеет «ушки» с отверстиями для фиксации пола. Все элементы, выполненные из фанеры, кроме ламинированной окрашены в два слоя акриловой краски и имеют специальное покрытие антиграффити. Все имеющиеся металлические детали окрашены порошковой полиэфирной краской. Все выступающие части резьбовых соединений закрыты пластиковыми заглушками. Весь крепеж оцинкованный.</w:t>
              <w:br/>
              <w:t>Комплект крепежей-1шт.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