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"Гольджи"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600x3000x2500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армированный канат, порошковая краска, лак.</w:t>
              <w:br/>
              <w:t>Комплекс состоит из 2-х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</w:t>
              <w:br/>
              <w:t>Подвесной переход крепится с помощью строп, выполненных из армированного полипропиленового каната диаметром 16 мм, состоящего из шести прядей. Каждая прядь армирована восемью металлическими проволоками.. </w:t>
              <w:br/>
              <w:t>Ступени перехода комбинированные и выполнены из двух элементов из высокопрочной влагостойкой березовой фанеры толщиной 27 мм с двумя поперечными канавками под канат и верхнего слоя, выполненного из высокопрочной влагостойкой ламинированной березовой фанеры толщиной 15 мм с антискользящим покрытием, соединенных при помощи болтов. Все ступени отшлифованы, кромки скруглены. Обработанные поверхности покрыты тонированным и бесцветным лаком.</w:t>
              <w:br/>
              <w:t>Все имеющиеся металлические детали окрашены порошковой полиэфирной краской серого цвета. Весь крепеж оцинкован.</w:t>
              <w:br/>
              <w:t>Комплектация: опорные столбы – 2 шт; хомуты – 1 компл; канаты - 1 компл; ступени – 6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