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"Черепаха"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1400x1500x750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акриловая краска, металл, порошковая краска.</w:t>
              <w:br/>
              <w:t>Песочница изготовлена из высокопрочной, влагостойкой фанеры толщиной 21 мм. </w:t>
              <w:br/>
              <w:t>Фанерные конструкции окрашены в 2 слоя акриловой краской и имеют специальное покрытие – антиграффити. Борта песочницы собираются в паз.</w:t>
              <w:br/>
              <w:t>С внутренней стороны, на ограждение, выполненное в форме черепахи, нанесено изображение черепахи, выполненное печатным способом. Изображение напечатано с использованием атмосферостойких чернил отверждаемых ультрафиолетом. Кроме декоративных качеств, напечатанное изображение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 эксплуатацию в диапазоне температур от - 45°С до + 45°С. </w:t>
              <w:br/>
              <w:t>По четырем внутренним углам песочницы для фиксации бортов установлены металлические уголки сечением 32 мм х 32 мм с толщиной стенки 4 мм и длинной 500 мм с просверленными отверстиями диаметром 6 мм.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оцинкованный. Комплектация: сиденья – 2 шт; песочница с декоративным элементом «Черепаха» – 1 комплект;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