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для армрестлинга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640x1000x1200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ламинированная фанера, резина, порошковая краска.</w:t>
              <w:br/>
              <w:t>Каркас выполнен из металлического профиля сечением 30 мм х 60 мм х 2 мм.</w:t>
              <w:br/>
              <w:t>Покрытие столешницы выполнено из высокопрочной влагостойкой ламинированной фанеры с антискользящим покрытием толщиной 15 мм. Упорные ручки выполнены из металлической круглой трубы диаметром 26,8 мм с покрытием из атмосферостойкой резины.</w:t>
              <w:br/>
              <w:t>Все элементы, выполненные из металла покрыты порошковой полиэфирной краской. </w:t>
              <w:br/>
              <w:t>Весь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