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ЛГИК-122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"Рахманинов"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3333x4035x3007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287.26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металл, нержавеющая сталь, монолитный поликарбонат, канат полипропиленовый армированный, нержавеющий крепеж.</w:t>
              <w:br/>
              <w:t/>
              <w:br/>
              <w:t>Комплектация: закладные детали  – 1 компл., опорные стойки – 8 шт., крыши – 1 компл., полы – 1 компл.,  горка прямая h=1,5м – 1 шт.,  ограждающие и декоративные панели – 1 компл., доска для рисования – 1 шт., лестница с декоративными панелями – 1 шт.,  балкон со штурвалом – 1 шт., наклонная канатная сетка – 1 шт., панель "Цветы" - 1шт., панель "Наперегонки" - 1 шт., перекладины - 2 шт., ручки - 2 шт.,  комплект крепежа - 1 шт.</w:t>
              <w:br/>
              <w:t> </w:t>
              <w:br/>
              <w:t>Конструкция и цветовая палитра оборудования согласно эскизу.</w:t>
              <w:br/>
              <w:t/>
              <w:br/>
              <w:t>Игровой комплекс состоит из 1 башни, горки, канатного трапа и лестницы на опорных стойках. Полы расположены на разных уровнях.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</w:t>
              <w:br/>
              <w:t>Крыша башни двускатная, выполнена из HPL пластика, рисунок наносится методом гравировки.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</w:t>
              <w:br/>
              <w:t>- наклонная канатная сетка из шестипрядного армированного полипропиленового каната d=16 мм.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Лестница с декоративными панелями выполнена из фанеры толщиной 24 мм., ступени изготовлены из ламинированной фанеры толщиной 18 мм с антискользящим покрытием. Перила изготовлены трубы диаметром 33,5 мм с толщиной стенки 2,8 мм. Декоративные панели выполнены из двустороннего HPL пластика с УФ защитой толщиной 10 мм.</w:t>
              <w:br/>
              <w:t/>
              <w:br/>
              <w:t>В составе игрового комплекса имеется 1 прямая горка h=1,5 м. 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оборудована металлической перекладиной, изготовленной из круглой трубы диаметром 21,3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