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ЛГИК-9.36С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"Франций"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5400x5980x3400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797.918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 1 шт., крыши – 1 компл., полы – 1 компл., наклонный трап с зацепами – 1 шт., горка прямая h=0,7м – 1 шт., горка прямая h=1,5м – 1 шт., металлические сетчатые ограждения - 2 шт., ограждающие и декоративные панели – 1 компл., лестница-стремянка – 1 шт.,   панель скалолаза с пазами для ног - 1 шт., панель скалолаза с зацепами – 1 шт.,  канатная вертикальная и горизонтальная сетка – 1 шт., вертикальный шест - 1шт., стяжка - 19 шт.,ручка - 7 шт., панел - «Сезонный гардероб» - 1 шт., панель «Шестеренки» - 1 шт., панель "Иллюминатор" - 1шт.,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3 башен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Переход между башнями представлен в виде вертикальной и горизонтальной канатных сеток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Сетчатое ограждение башни изготовлено с использованием металлической оцинкованной сетки Bastion.</w:t>
              <w:br/>
              <w:t>- панели скалолаза с пазами для ног, изготовленные  из HPL пластика толщиной 10 мм;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мм.</w:t>
              <w:br/>
              <w:t>В составе игрового комплекса имеются 2 прямые горки h=0,7 м и h=1,5 м. Прямые горки состоят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