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Стол "Городской"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1200x1600x700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дерево, порошковая краска, акриловая краска.</w:t>
              <w:br/>
              <w:t>Покрытие скамейки выполнено из сухой , строганой доски хвойных пород длинной 1600 мм и шириной 110 мм. Обработанные поверхности покрыты тонированным и бесцветным лаком.  </w:t>
              <w:br/>
              <w:t>Металлические вертикальные элементы (стойки) и нижняя опорная перекладина выполнены из профильной трубы сечением 40 мм х 40 мм со стенкой 2 мм, а горизонтально расположенные планки под крепление досок столешницы и скамеек выполнены из профильной трубы сечением 20 мм х 40 мм х 2 мм.</w:t>
              <w:br/>
              <w:t>К нижней опорной перекладине приварено четыре закладных элемента длинной 250 мм под бетонирование, выполненных из металлической круглой трубы диаметром 26,8 мм.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>Комплектация: металлический каркас – 1 шт; доски - 9 шт;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