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ЛГИК-8.32С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"Рубидий"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3485x4100x3071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295.352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8 шт., крыши – 1 компл., полы – 1 компл.,  горка прямая h=1,5м – 1 шт.,  ограждающие и декоративные панели – 1 компл., доска для рисования – 1 шт., лестница с декоративными панелями – 1 шт.,  балкон со штурвалом – 1 шт., наклонная канатная сетка – 1 шт., панель "Цветы" - 1шт., панель "Наперегонки" - 1 шт., перекладины - 2 шт., ручки - 2 шт.,  комплект крепежа - 1 шт.</w:t>
              <w:br/>
              <w:t> </w:t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1 башни, горки, канатного трапа и лестницы на опорных стойках.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Крыша башни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- наклонная канатная сетка из шестипрядного армированного полипропиленового каната d=16 мм.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Лестница с декоративными панелями выполнена из фанеры толщиной 24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/>
              <w:br/>
              <w:t>В составе игрового комплекса имеется 1 прямая горка h=1,5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оборудована металлической перекладиной, изготовленной из круглой трубы диаметром 21,3 мм с толщиной стенки 2,8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