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1030x2500x878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березовая фанера, влагостойкая ламинированная фанера, нержавеющий крепеж.</w:t>
              <w:br/>
              <w:t>Комплектация: каркас -1 шт.,пружины- 4 шт., сиденье и декоративные элементы - 4 компл., комплект крепежа – 1 шт.</w:t>
              <w:br/>
              <w:t>Сидения выполнены из ламинированной фанеры толщиной 18 мм. Каркас качелей представляет собой металлическую профильную трубу сечением 100х150х5 мм, 60х40х20 мм и накладками из влагостойкой березовой фанеры толщиной 15 мм. Крепление сидения к каркасу реализовано с помощью платика из листа металла толщиной 5 мм, а также с помощью соединительной трубы диаметром 108 мм и толщиной стенки 3 мм. </w:t>
              <w:br/>
              <w:t>Декоративные элементы выполнены из березовой фанеры толщиной 12 и 18 мм, радиус скругления кромок 6 мм. Пружины на балансире изготовлены из металла и размером 425x200x20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