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ЛГТН-4х8-ПКФ-Д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поликарбонат, фанера) с декоративными элементами "Дошкольник"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59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4945x8666x3009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1958.089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фанера, сотовый поликарбонат.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Металлические детали покрываются защитным антикоррозийным декоративным покрытием, подобранным для обеспечения атмосферостойкости и светостойкости. </w:t>
              <w:br/>
              <w:t>Каркас на болтовом соединении из профильной трубы 80х80 мм с толщиной стенки 3 мм, 80х40 мм с толщиной стенки 3 мм, 40х40 с толщиной стенки 2 мм и 40х20 мм с толщиной стенки 2 мм. Все каркасные металлические элементы окрашены защитным антикоррозийным декоративным покрытием. </w:t>
              <w:br/>
              <w:t>Полы выполнены из высокопрочной влагостойкой ламинированной фанеры толщиной 18 мм с фирменным узором “гексагональная структура”.</w:t>
              <w:br/>
              <w:t>Торцы фанеры окрашены акриловой краской. Боковые и задние стенки выполнены из сотового поликарбоната толщиной 8 мм. Передние стенки и декоративные элементы выполнены из влагостойкой березовой фанеры толщиной 15 мм.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Декоративные элементы- 16 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