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"Море"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2212.957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На декоративные элементы при помощи УФ печати наносятся рисунки.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