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МСК-РБ-103.2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«Наукоград» (горка из нержавеющей стали)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4802x5848x7830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2156.665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Каркас комплекса состоит из условных параллелепипедов со срезанными углами, грани которых являются металлическими трубами. Модули соединены канатными лазами и переходами. Входы комплекса оформлены в виде верёвочных лестниц, канатных сеток, свободных участков между элементами каркаса. Полы выполнены из ламинированной фанеры с антискользящим покрытием. В комплексе две горки из нержавеющей стали: открытая прямая и винтовая тоннельная.</w:t>
              <w:br/>
              <w:t>Каркас комплекса выполнен из круглых металлических труб, соединенных при помощи металлических узлов Мархи. Ограждающие и интерактивные панели комплекса из монолитного поликарбоната с цветным напылением, HPL пластика, металлической сетки.</w:t>
              <w:br/>
              <w:t>На крыше комплекса установлена металлическая стойка с ветряком. Игровые элементы комплекса: модуль «Вечный календарь», игровые установки на металлических стойках «Бильярд» и «Ворота», ростомер, панель с ползунками.</w:t>
              <w:br/>
              <w:t>Материалы: металл, ламинированная фанера, HPL пластик, монолитный поликарбонат, армированный полипропиленовый канат, нержавеющая сталь.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