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ЛГИК-02.04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"Рёло" 02.04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1481x2606x2365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166.31085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монолитный поликарбонат, HPL пластик, металл, нержавеющая сталь, нержавеющий крепеж.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трех платформ.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В игровом комплексе присутствуют прозрачные панели, выполненные из монолитного поликарбоната толщиной 5 мм. На панели и игровых элементах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Металлическая перекладина, перила и подпорка крыши изготовлены из круглой трубы диаметром 33,5 мм с толщиной стенки 2,8 мм.  Сетчатое ограждение башни изготовлено с использованием металлического перфорированного листа, закрепленной при помощи рамы из круглой трубы диаметром 33,5мм с толщиной стенки 2,8 мм. </w:t>
              <w:br/>
              <w:t>Геометрические фигуры на панели изготовлены из пластика HPL толщиной 10 мм.</w:t>
              <w:br/>
              <w:t>Игровые элементы "Счеты" закреплены на металлической круглой трубе диаметром 33,5 мм с толщиной стенки 2,8 мм. Фигуры в игровом элементе выполнены из пластика HPL толщиной 10 мм.</w:t>
              <w:br/>
              <w:t/>
              <w:br/>
              <w:t>В составе игрового комплекса имеются 1 прямая горка. Горка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