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"Золотое сечение"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6713x8395x5033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4540.26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Комплекс состоит из четырёх уровней, каждый из которых предлагает уникальные игровые сценарии и типы взаимодействия. Вход на каждый уровень обеспечивают: лестница, сетка, канатный лаз, что делает комплекс доступным для широкого круга пользователей.</w:t>
              <w:br/>
              <w:t>Игровые элементы:</w:t>
              <w:br/>
              <w:t>1 тоннельная горка из нержавеющей стали</w:t>
              <w:br/>
              <w:t>4 этажа с разноуровневыми платформами</w:t>
              <w:br/>
              <w:t>8 видов физической активности, включая лазание, скольжение, балансировку, карабкание, перепрыгивание, ползание, висение и тактильное взаимодействие</w:t>
              <w:br/>
              <w:t>Основные материалы конструкции:</w:t>
              <w:br/>
              <w:t>Опорные столбы: труба круглая 133×4.5 мм (RAL 9001)</w:t>
              <w:br/>
              <w:t>Рамы полов: труба квадратная 80×80×3 мм</w:t>
              <w:br/>
              <w:t>Настил полов: строганная доска из лиственницы 140×35 мм, 190×35 мм.</w:t>
              <w:br/>
              <w:t>Ступени: HPL толщиной 15мм с антискользящим покрытием</w:t>
              <w:br/>
              <w:t>Ограждения: труба круглая ДУ32, нержавеющая сетка, полипропиленовая сетка</w:t>
              <w:br/>
              <w:t>Канатные элементы: армированный полипропиленовый канат Ø16 мм</w:t>
              <w:br/>
              <w:t>Интерактивные панели: HPL пластик (10 мм) и монолитный поликарбонат (3–5 мм) с УФ-печатью изображений</w:t>
              <w:br/>
              <w:t>Горка: нержавеющая сталь 2–3 мм, опоры — труба Ø108×3 мм</w:t>
              <w:br/>
              <w:t>Покрытия:</w:t>
              <w:br/>
              <w:t>Деревянные элементы — водно-дисперсионный лак</w:t>
              <w:br/>
              <w:t>Металлические элементы — порошковый цинкогрунт и порошковая краска</w:t>
              <w:br/>
              <w:t>Все крепёжные элементы выполнены из нержавеющей стали, с обязательным использованием пластиковых заглушек на выступающих резьбовых соединениях для обеспечения безопасности.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